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600" w:lineRule="atLeast"/>
        <w:ind w:left="0" w:right="0" w:firstLine="0"/>
        <w:jc w:val="left"/>
        <w:rPr>
          <w:rStyle w:val="None"/>
          <w:rFonts w:ascii="Palatino" w:cs="Palatino" w:hAnsi="Palatino" w:eastAsia="Palatino"/>
          <w:i w:val="0"/>
          <w:iCs w:val="0"/>
          <w:outline w:val="0"/>
          <w:color w:val="333333"/>
          <w:sz w:val="36"/>
          <w:szCs w:val="36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Palatino" w:hAnsi="Palatino"/>
          <w:i w:val="1"/>
          <w:iCs w:val="1"/>
          <w:outline w:val="0"/>
          <w:color w:val="333333"/>
          <w:sz w:val="27"/>
          <w:szCs w:val="27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The</w:t>
      </w:r>
      <w:r>
        <w:rPr>
          <w:rFonts w:ascii="Palatino" w:hAnsi="Palatino" w:hint="default"/>
          <w:i w:val="1"/>
          <w:iCs w:val="1"/>
          <w:outline w:val="0"/>
          <w:color w:val="333333"/>
          <w:sz w:val="27"/>
          <w:szCs w:val="27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Style w:val="Hyperlink.0"/>
          <w:rFonts w:ascii="Palatino" w:cs="Palatino" w:hAnsi="Palatino" w:eastAsia="Palatino"/>
          <w:i w:val="1"/>
          <w:iCs w:val="1"/>
          <w:outline w:val="0"/>
          <w:color w:val="4185f3"/>
          <w:sz w:val="27"/>
          <w:szCs w:val="27"/>
          <w:u w:val="single" w:color="4185f3"/>
          <w:shd w:val="clear" w:color="auto" w:fill="ffffff"/>
          <w:rtl w:val="0"/>
          <w14:textFill>
            <w14:solidFill>
              <w14:srgbClr w14:val="4285F4"/>
            </w14:solidFill>
          </w14:textFill>
        </w:rPr>
        <w:fldChar w:fldCharType="begin" w:fldLock="0"/>
      </w:r>
      <w:r>
        <w:rPr>
          <w:rStyle w:val="Hyperlink.0"/>
          <w:rFonts w:ascii="Palatino" w:cs="Palatino" w:hAnsi="Palatino" w:eastAsia="Palatino"/>
          <w:i w:val="1"/>
          <w:iCs w:val="1"/>
          <w:outline w:val="0"/>
          <w:color w:val="4185f3"/>
          <w:sz w:val="27"/>
          <w:szCs w:val="27"/>
          <w:u w:val="single" w:color="4185f3"/>
          <w:shd w:val="clear" w:color="auto" w:fill="ffffff"/>
          <w:rtl w:val="0"/>
          <w14:textFill>
            <w14:solidFill>
              <w14:srgbClr w14:val="4285F4"/>
            </w14:solidFill>
          </w14:textFill>
        </w:rPr>
        <w:instrText xml:space="preserve"> HYPERLINK "https://www.nfib.com/news-article/fifth-circuit-reverses-course-blocks-government-enforcement-of-burdensome-beneficial-ownership-reporting-for-small-businesses/"</w:instrText>
      </w:r>
      <w:r>
        <w:rPr>
          <w:rStyle w:val="Hyperlink.0"/>
          <w:rFonts w:ascii="Palatino" w:cs="Palatino" w:hAnsi="Palatino" w:eastAsia="Palatino"/>
          <w:i w:val="1"/>
          <w:iCs w:val="1"/>
          <w:outline w:val="0"/>
          <w:color w:val="4185f3"/>
          <w:sz w:val="27"/>
          <w:szCs w:val="27"/>
          <w:u w:val="single" w:color="4185f3"/>
          <w:shd w:val="clear" w:color="auto" w:fill="ffffff"/>
          <w:rtl w:val="0"/>
          <w14:textFill>
            <w14:solidFill>
              <w14:srgbClr w14:val="4285F4"/>
            </w14:solidFill>
          </w14:textFill>
        </w:rPr>
        <w:fldChar w:fldCharType="separate" w:fldLock="0"/>
      </w:r>
      <w:r>
        <w:rPr>
          <w:rStyle w:val="Hyperlink.0"/>
          <w:rFonts w:ascii="Palatino" w:hAnsi="Palatino"/>
          <w:i w:val="1"/>
          <w:iCs w:val="1"/>
          <w:outline w:val="0"/>
          <w:color w:val="4185f3"/>
          <w:sz w:val="27"/>
          <w:szCs w:val="27"/>
          <w:u w:val="single" w:color="4185f3"/>
          <w:shd w:val="clear" w:color="auto" w:fill="ffffff"/>
          <w:rtl w:val="0"/>
          <w:lang w:val="en-US"/>
          <w14:textFill>
            <w14:solidFill>
              <w14:srgbClr w14:val="4285F4"/>
            </w14:solidFill>
          </w14:textFill>
        </w:rPr>
        <w:t>National Federation of Independent Business has been fighting</w:t>
      </w:r>
      <w:r>
        <w:rPr>
          <w:rFonts w:ascii="Palatino" w:cs="Palatino" w:hAnsi="Palatino" w:eastAsia="Palatino"/>
          <w:i w:val="1"/>
          <w:iCs w:val="1"/>
          <w:outline w:val="0"/>
          <w:color w:val="333333"/>
          <w:sz w:val="27"/>
          <w:szCs w:val="27"/>
          <w:shd w:val="clear" w:color="auto" w:fill="ffffff"/>
          <w:rtl w:val="0"/>
          <w14:textFill>
            <w14:solidFill>
              <w14:srgbClr w14:val="333333"/>
            </w14:solidFill>
          </w14:textFill>
        </w:rPr>
        <w:fldChar w:fldCharType="end" w:fldLock="0"/>
      </w:r>
      <w:r>
        <w:rPr>
          <w:rFonts w:ascii="Palatino" w:hAnsi="Palatino" w:hint="default"/>
          <w:i w:val="1"/>
          <w:iCs w:val="1"/>
          <w:outline w:val="0"/>
          <w:color w:val="333333"/>
          <w:sz w:val="27"/>
          <w:szCs w:val="27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Palatino" w:hAnsi="Palatino"/>
          <w:i w:val="1"/>
          <w:iCs w:val="1"/>
          <w:outline w:val="0"/>
          <w:color w:val="333333"/>
          <w:sz w:val="27"/>
          <w:szCs w:val="27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the BOI reporting requirement, calling it burdensome and an overreach. With several groups, the lawsuit Texas Top Cop Shop Inc. et al v. Garland et al has been ongoing.</w:t>
      </w:r>
      <w:r>
        <w:rPr>
          <w:rFonts w:ascii="Palatino" w:cs="Palatino" w:hAnsi="Palatino" w:eastAsia="Palatino"/>
          <w:i w:val="1"/>
          <w:iCs w:val="1"/>
          <w:outline w:val="0"/>
          <w:color w:val="333333"/>
          <w:sz w:val="27"/>
          <w:szCs w:val="27"/>
          <w:shd w:val="clear" w:color="auto" w:fill="ffffff"/>
          <w:rtl w:val="0"/>
          <w14:textFill>
            <w14:solidFill>
              <w14:srgbClr w14:val="333333"/>
            </w14:solidFill>
          </w14:textFill>
        </w:rPr>
        <w:br w:type="textWrapping"/>
      </w:r>
    </w:p>
    <w:p>
      <w:pPr>
        <w:pStyle w:val="Default"/>
        <w:bidi w:val="0"/>
        <w:spacing w:before="0" w:after="400" w:line="600" w:lineRule="atLeast"/>
        <w:ind w:left="1140" w:right="1860" w:firstLine="0"/>
        <w:jc w:val="left"/>
        <w:rPr>
          <w:rStyle w:val="None"/>
          <w:rFonts w:ascii="Palatino" w:cs="Palatino" w:hAnsi="Palatino" w:eastAsia="Palatino"/>
          <w:i w:val="0"/>
          <w:iCs w:val="0"/>
          <w:outline w:val="0"/>
          <w:color w:val="333333"/>
          <w:sz w:val="36"/>
          <w:szCs w:val="36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Palatino" w:hAnsi="Palatino"/>
          <w:i w:val="1"/>
          <w:iCs w:val="1"/>
          <w:outline w:val="0"/>
          <w:color w:val="333333"/>
          <w:sz w:val="27"/>
          <w:szCs w:val="27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In early December, a preliminary injunction was issued, stopping the requirement to submit a BOI report. But earlier this week, December 23, the 5th Circuit Court of Appeals overturned that. So for a few days, FinCEN was requiring it, with an extended deadline of January 13 to give companies a little more time.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efault"/>
        <w:bidi w:val="0"/>
        <w:spacing w:before="0" w:after="400" w:line="600" w:lineRule="atLeast"/>
        <w:ind w:left="1140" w:right="1860" w:firstLine="0"/>
        <w:jc w:val="left"/>
        <w:rPr>
          <w:rtl w:val="0"/>
        </w:rPr>
      </w:pPr>
      <w:r>
        <w:rPr>
          <w:rFonts w:ascii="Palatino" w:hAnsi="Palatino"/>
          <w:i w:val="1"/>
          <w:iCs w:val="1"/>
          <w:outline w:val="0"/>
          <w:color w:val="333333"/>
          <w:sz w:val="27"/>
          <w:szCs w:val="27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However, on December 26, a different panel of the 5th Circuit vacated the December 23 order. In other words, the preliminary injunction is back in place and</w:t>
      </w:r>
      <w:r>
        <w:rPr>
          <w:rFonts w:ascii="Palatino" w:hAnsi="Palatino" w:hint="default"/>
          <w:i w:val="1"/>
          <w:iCs w:val="1"/>
          <w:outline w:val="0"/>
          <w:color w:val="333333"/>
          <w:sz w:val="27"/>
          <w:szCs w:val="27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Style w:val="None"/>
          <w:rFonts w:ascii="Palatino" w:hAnsi="Palatino"/>
          <w:b w:val="1"/>
          <w:bCs w:val="1"/>
          <w:i w:val="1"/>
          <w:iCs w:val="1"/>
          <w:outline w:val="0"/>
          <w:color w:val="333333"/>
          <w:sz w:val="27"/>
          <w:szCs w:val="27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BOI reports are not currently required</w:t>
      </w:r>
      <w:r>
        <w:rPr>
          <w:rFonts w:ascii="Palatino" w:hAnsi="Palatino"/>
          <w:i w:val="1"/>
          <w:iCs w:val="1"/>
          <w:outline w:val="0"/>
          <w:color w:val="333333"/>
          <w:sz w:val="27"/>
          <w:szCs w:val="27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alatin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4185f3"/>
      <w:u w:val="single" w:color="4185f3"/>
      <w14:textFill>
        <w14:solidFill>
          <w14:srgbClr w14:val="4285F4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